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CAA89" w14:textId="77777777" w:rsidR="007E3865" w:rsidRPr="00FC0D62" w:rsidRDefault="007E3865" w:rsidP="007E3865">
      <w:pPr>
        <w:jc w:val="right"/>
        <w:rPr>
          <w:rFonts w:ascii="Sylfaen" w:hAnsi="Sylfaen"/>
          <w:b/>
          <w:lang w:val="ka-GE"/>
        </w:rPr>
      </w:pPr>
      <w:bookmarkStart w:id="0" w:name="_GoBack"/>
      <w:r w:rsidRPr="00FC0D62">
        <w:rPr>
          <w:rFonts w:ascii="Sylfaen" w:hAnsi="Sylfaen"/>
          <w:b/>
          <w:lang w:val="ka-GE"/>
        </w:rPr>
        <w:t>დანართი</w:t>
      </w:r>
    </w:p>
    <w:p w14:paraId="59D74A58" w14:textId="77777777" w:rsidR="007E3865" w:rsidRPr="00FC0D62" w:rsidRDefault="007E3865" w:rsidP="007E3865">
      <w:pPr>
        <w:jc w:val="center"/>
        <w:rPr>
          <w:rFonts w:ascii="Sylfaen" w:hAnsi="Sylfaen"/>
          <w:b/>
          <w:lang w:val="ka-GE"/>
        </w:rPr>
      </w:pPr>
      <w:r w:rsidRPr="00FC0D62">
        <w:rPr>
          <w:rFonts w:ascii="Sylfaen" w:hAnsi="Sylfaen"/>
          <w:b/>
          <w:lang w:val="ka-GE"/>
        </w:rPr>
        <w:t>ინფორმაცია</w:t>
      </w:r>
    </w:p>
    <w:bookmarkEnd w:id="0"/>
    <w:p w14:paraId="334C067C" w14:textId="77777777" w:rsidR="002B6CEA" w:rsidRPr="00FC0D62" w:rsidRDefault="007E3865" w:rsidP="007E3865">
      <w:pPr>
        <w:jc w:val="center"/>
        <w:rPr>
          <w:rFonts w:ascii="Sylfaen" w:hAnsi="Sylfaen"/>
          <w:b/>
          <w:lang w:val="ka-GE"/>
        </w:rPr>
      </w:pPr>
      <w:r w:rsidRPr="00FC0D62">
        <w:rPr>
          <w:rFonts w:ascii="Sylfaen" w:hAnsi="Sylfaen"/>
          <w:b/>
        </w:rPr>
        <w:t>„სახელმწიფო აუდიტის სამსახურის მიერ საქართველოს 2018 წლის სახელმწიფო ბიუჯეტის შესრულების წლიური ანგარიშის შესახებ მომზადებულ მოხსენებაში წარმოდგენილი შენიშვნებისა და რეკომენდაციების საბიუჯეტო პროცესში გათვალისწინების შესაძლებლობის თაობაზე“ საქართველოს მთავრობის სამოქმედო გეგმის განსაზღვრის შესახებ" საქართველოს მთავრობის 2020 წლის 20 იანვრის N111 განკარგულები</w:t>
      </w:r>
      <w:r w:rsidRPr="00FC0D62">
        <w:rPr>
          <w:rFonts w:ascii="Sylfaen" w:hAnsi="Sylfaen"/>
          <w:b/>
          <w:lang w:val="ka-GE"/>
        </w:rPr>
        <w:t>თ განსაზღვრული საქართველოს მთავრობის სამოქმედო გეგმის შესრულების შესახებ</w:t>
      </w:r>
    </w:p>
    <w:tbl>
      <w:tblPr>
        <w:tblW w:w="5801" w:type="pct"/>
        <w:tblInd w:w="-1085" w:type="dxa"/>
        <w:tblLayout w:type="fixed"/>
        <w:tblLook w:val="04A0" w:firstRow="1" w:lastRow="0" w:firstColumn="1" w:lastColumn="0" w:noHBand="0" w:noVBand="1"/>
      </w:tblPr>
      <w:tblGrid>
        <w:gridCol w:w="3601"/>
        <w:gridCol w:w="1762"/>
        <w:gridCol w:w="1708"/>
        <w:gridCol w:w="2287"/>
        <w:gridCol w:w="5667"/>
      </w:tblGrid>
      <w:tr w:rsidR="007E3865" w:rsidRPr="007E3865" w14:paraId="7D3B7672" w14:textId="77777777" w:rsidTr="007E3865">
        <w:trPr>
          <w:trHeight w:val="288"/>
          <w:tblHeader/>
        </w:trPr>
        <w:tc>
          <w:tcPr>
            <w:tcW w:w="1198" w:type="pct"/>
            <w:tcBorders>
              <w:top w:val="single" w:sz="4" w:space="0" w:color="auto"/>
              <w:left w:val="single" w:sz="4" w:space="0" w:color="auto"/>
              <w:bottom w:val="nil"/>
              <w:right w:val="single" w:sz="4" w:space="0" w:color="auto"/>
            </w:tcBorders>
            <w:shd w:val="clear" w:color="000000" w:fill="ACB9CA"/>
            <w:vAlign w:val="center"/>
            <w:hideMark/>
          </w:tcPr>
          <w:p w14:paraId="06A187D6" w14:textId="77777777" w:rsidR="007E3865" w:rsidRPr="007E3865" w:rsidRDefault="007E3865" w:rsidP="007E3865">
            <w:pPr>
              <w:spacing w:after="0" w:line="240" w:lineRule="auto"/>
              <w:jc w:val="center"/>
              <w:rPr>
                <w:rFonts w:ascii="Sylfaen" w:eastAsia="Times New Roman" w:hAnsi="Sylfaen" w:cs="Calibri"/>
                <w:b/>
                <w:bCs/>
                <w:sz w:val="18"/>
                <w:szCs w:val="18"/>
              </w:rPr>
            </w:pPr>
            <w:r w:rsidRPr="007E3865">
              <w:rPr>
                <w:rFonts w:ascii="Sylfaen" w:eastAsia="Times New Roman" w:hAnsi="Sylfaen" w:cs="Calibri"/>
                <w:b/>
                <w:bCs/>
                <w:sz w:val="18"/>
                <w:szCs w:val="18"/>
              </w:rPr>
              <w:t>რეკომენდაცია</w:t>
            </w:r>
          </w:p>
        </w:tc>
        <w:tc>
          <w:tcPr>
            <w:tcW w:w="586" w:type="pct"/>
            <w:tcBorders>
              <w:top w:val="single" w:sz="4" w:space="0" w:color="auto"/>
              <w:left w:val="nil"/>
              <w:bottom w:val="nil"/>
              <w:right w:val="single" w:sz="4" w:space="0" w:color="auto"/>
            </w:tcBorders>
            <w:shd w:val="clear" w:color="000000" w:fill="ACB9CA"/>
            <w:vAlign w:val="center"/>
            <w:hideMark/>
          </w:tcPr>
          <w:p w14:paraId="7DE4C679" w14:textId="77777777" w:rsidR="007E3865" w:rsidRPr="007E3865" w:rsidRDefault="007E3865" w:rsidP="007E3865">
            <w:pPr>
              <w:spacing w:after="0" w:line="240" w:lineRule="auto"/>
              <w:jc w:val="center"/>
              <w:rPr>
                <w:rFonts w:ascii="Sylfaen" w:eastAsia="Times New Roman" w:hAnsi="Sylfaen" w:cs="Calibri"/>
                <w:b/>
                <w:bCs/>
                <w:sz w:val="18"/>
                <w:szCs w:val="18"/>
              </w:rPr>
            </w:pPr>
            <w:r w:rsidRPr="007E3865">
              <w:rPr>
                <w:rFonts w:ascii="Sylfaen" w:eastAsia="Times New Roman" w:hAnsi="Sylfaen" w:cs="Calibri"/>
                <w:b/>
                <w:bCs/>
                <w:sz w:val="18"/>
                <w:szCs w:val="18"/>
              </w:rPr>
              <w:t>განხორციელების ვადები</w:t>
            </w:r>
          </w:p>
        </w:tc>
        <w:tc>
          <w:tcPr>
            <w:tcW w:w="568" w:type="pct"/>
            <w:tcBorders>
              <w:top w:val="single" w:sz="4" w:space="0" w:color="auto"/>
              <w:left w:val="nil"/>
              <w:bottom w:val="nil"/>
              <w:right w:val="single" w:sz="4" w:space="0" w:color="auto"/>
            </w:tcBorders>
            <w:shd w:val="clear" w:color="000000" w:fill="ACB9CA"/>
            <w:vAlign w:val="center"/>
            <w:hideMark/>
          </w:tcPr>
          <w:p w14:paraId="4C9F16D4" w14:textId="77777777" w:rsidR="007E3865" w:rsidRPr="007E3865" w:rsidRDefault="007E3865" w:rsidP="007E3865">
            <w:pPr>
              <w:spacing w:after="0" w:line="240" w:lineRule="auto"/>
              <w:jc w:val="center"/>
              <w:rPr>
                <w:rFonts w:ascii="Sylfaen" w:eastAsia="Times New Roman" w:hAnsi="Sylfaen" w:cs="Calibri"/>
                <w:b/>
                <w:bCs/>
                <w:sz w:val="18"/>
                <w:szCs w:val="18"/>
              </w:rPr>
            </w:pPr>
            <w:r w:rsidRPr="007E3865">
              <w:rPr>
                <w:rFonts w:ascii="Sylfaen" w:eastAsia="Times New Roman" w:hAnsi="Sylfaen" w:cs="Calibri"/>
                <w:b/>
                <w:bCs/>
                <w:sz w:val="18"/>
                <w:szCs w:val="18"/>
              </w:rPr>
              <w:t>პასუხისმგებელი უწყება</w:t>
            </w:r>
          </w:p>
        </w:tc>
        <w:tc>
          <w:tcPr>
            <w:tcW w:w="761" w:type="pct"/>
            <w:tcBorders>
              <w:top w:val="single" w:sz="4" w:space="0" w:color="auto"/>
              <w:left w:val="nil"/>
              <w:bottom w:val="nil"/>
              <w:right w:val="single" w:sz="4" w:space="0" w:color="auto"/>
            </w:tcBorders>
            <w:shd w:val="clear" w:color="000000" w:fill="ACB9CA"/>
            <w:vAlign w:val="center"/>
            <w:hideMark/>
          </w:tcPr>
          <w:p w14:paraId="0E3B9B0F" w14:textId="77777777" w:rsidR="007E3865" w:rsidRPr="007E3865" w:rsidRDefault="007E3865" w:rsidP="007E3865">
            <w:pPr>
              <w:spacing w:after="0" w:line="240" w:lineRule="auto"/>
              <w:jc w:val="center"/>
              <w:rPr>
                <w:rFonts w:ascii="Sylfaen" w:eastAsia="Times New Roman" w:hAnsi="Sylfaen" w:cs="Calibri"/>
                <w:b/>
                <w:bCs/>
                <w:sz w:val="18"/>
                <w:szCs w:val="18"/>
              </w:rPr>
            </w:pPr>
            <w:r w:rsidRPr="007E3865">
              <w:rPr>
                <w:rFonts w:ascii="Sylfaen" w:eastAsia="Times New Roman" w:hAnsi="Sylfaen" w:cs="Calibri"/>
                <w:b/>
                <w:bCs/>
                <w:sz w:val="18"/>
                <w:szCs w:val="18"/>
              </w:rPr>
              <w:t>ინდიკატორი</w:t>
            </w:r>
          </w:p>
        </w:tc>
        <w:tc>
          <w:tcPr>
            <w:tcW w:w="1886" w:type="pct"/>
            <w:tcBorders>
              <w:top w:val="single" w:sz="4" w:space="0" w:color="auto"/>
              <w:left w:val="nil"/>
              <w:bottom w:val="nil"/>
              <w:right w:val="single" w:sz="4" w:space="0" w:color="auto"/>
            </w:tcBorders>
            <w:shd w:val="clear" w:color="000000" w:fill="ACB9CA"/>
            <w:vAlign w:val="center"/>
            <w:hideMark/>
          </w:tcPr>
          <w:p w14:paraId="1FB85256" w14:textId="77777777" w:rsidR="007E3865" w:rsidRPr="007E3865" w:rsidRDefault="007E3865" w:rsidP="007E3865">
            <w:pPr>
              <w:spacing w:after="0" w:line="240" w:lineRule="auto"/>
              <w:jc w:val="center"/>
              <w:rPr>
                <w:rFonts w:ascii="Sylfaen" w:eastAsia="Times New Roman" w:hAnsi="Sylfaen" w:cs="Calibri"/>
                <w:b/>
                <w:bCs/>
                <w:sz w:val="18"/>
                <w:szCs w:val="18"/>
              </w:rPr>
            </w:pPr>
            <w:r w:rsidRPr="007E3865">
              <w:rPr>
                <w:rFonts w:ascii="Sylfaen" w:eastAsia="Times New Roman" w:hAnsi="Sylfaen" w:cs="Calibri"/>
                <w:b/>
                <w:bCs/>
                <w:sz w:val="18"/>
                <w:szCs w:val="18"/>
              </w:rPr>
              <w:t>შესრულება</w:t>
            </w:r>
          </w:p>
        </w:tc>
      </w:tr>
      <w:tr w:rsidR="007E3865" w:rsidRPr="007E3865" w14:paraId="759AF748" w14:textId="77777777" w:rsidTr="007E3865">
        <w:trPr>
          <w:trHeight w:val="288"/>
        </w:trPr>
        <w:tc>
          <w:tcPr>
            <w:tcW w:w="1198" w:type="pct"/>
            <w:tcBorders>
              <w:top w:val="single" w:sz="4" w:space="0" w:color="333F4F"/>
              <w:left w:val="single" w:sz="4" w:space="0" w:color="333F4F"/>
              <w:bottom w:val="single" w:sz="4" w:space="0" w:color="333F4F"/>
              <w:right w:val="single" w:sz="4" w:space="0" w:color="333F4F"/>
            </w:tcBorders>
            <w:shd w:val="clear" w:color="000000" w:fill="9BC2E6"/>
            <w:vAlign w:val="center"/>
            <w:hideMark/>
          </w:tcPr>
          <w:p w14:paraId="6D3BDF02" w14:textId="77777777" w:rsidR="007E3865" w:rsidRPr="007E3865" w:rsidRDefault="007E3865" w:rsidP="007E3865">
            <w:pPr>
              <w:spacing w:after="0" w:line="240" w:lineRule="auto"/>
              <w:rPr>
                <w:rFonts w:ascii="Sylfaen" w:eastAsia="Times New Roman" w:hAnsi="Sylfaen" w:cs="Calibri"/>
                <w:b/>
                <w:bCs/>
                <w:sz w:val="18"/>
                <w:szCs w:val="18"/>
              </w:rPr>
            </w:pPr>
            <w:r w:rsidRPr="007E3865">
              <w:rPr>
                <w:rFonts w:ascii="Sylfaen" w:eastAsia="Times New Roman" w:hAnsi="Sylfaen" w:cs="Calibri"/>
                <w:b/>
                <w:bCs/>
                <w:sz w:val="18"/>
                <w:szCs w:val="18"/>
              </w:rPr>
              <w:t>საქართველოს ფინანსთა სამინისტროს</w:t>
            </w:r>
          </w:p>
        </w:tc>
        <w:tc>
          <w:tcPr>
            <w:tcW w:w="586" w:type="pct"/>
            <w:tcBorders>
              <w:top w:val="single" w:sz="4" w:space="0" w:color="333F4F"/>
              <w:left w:val="nil"/>
              <w:bottom w:val="single" w:sz="4" w:space="0" w:color="333F4F"/>
              <w:right w:val="single" w:sz="4" w:space="0" w:color="333F4F"/>
            </w:tcBorders>
            <w:shd w:val="clear" w:color="000000" w:fill="9BC2E6"/>
            <w:vAlign w:val="center"/>
            <w:hideMark/>
          </w:tcPr>
          <w:p w14:paraId="2CE749A3"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568" w:type="pct"/>
            <w:tcBorders>
              <w:top w:val="single" w:sz="4" w:space="0" w:color="333F4F"/>
              <w:left w:val="nil"/>
              <w:bottom w:val="single" w:sz="4" w:space="0" w:color="333F4F"/>
              <w:right w:val="single" w:sz="4" w:space="0" w:color="333F4F"/>
            </w:tcBorders>
            <w:shd w:val="clear" w:color="000000" w:fill="9BC2E6"/>
            <w:vAlign w:val="center"/>
            <w:hideMark/>
          </w:tcPr>
          <w:p w14:paraId="4000BA12"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761" w:type="pct"/>
            <w:tcBorders>
              <w:top w:val="single" w:sz="4" w:space="0" w:color="333F4F"/>
              <w:left w:val="nil"/>
              <w:bottom w:val="single" w:sz="4" w:space="0" w:color="333F4F"/>
              <w:right w:val="single" w:sz="4" w:space="0" w:color="333F4F"/>
            </w:tcBorders>
            <w:shd w:val="clear" w:color="000000" w:fill="9BC2E6"/>
            <w:vAlign w:val="center"/>
            <w:hideMark/>
          </w:tcPr>
          <w:p w14:paraId="76EF25CB"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1886" w:type="pct"/>
            <w:tcBorders>
              <w:top w:val="single" w:sz="4" w:space="0" w:color="333F4F"/>
              <w:left w:val="nil"/>
              <w:bottom w:val="single" w:sz="4" w:space="0" w:color="333F4F"/>
              <w:right w:val="single" w:sz="4" w:space="0" w:color="333F4F"/>
            </w:tcBorders>
            <w:shd w:val="clear" w:color="000000" w:fill="9BC2E6"/>
            <w:vAlign w:val="center"/>
            <w:hideMark/>
          </w:tcPr>
          <w:p w14:paraId="4F89D41B"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r>
      <w:tr w:rsidR="007E3865" w:rsidRPr="007E3865" w14:paraId="353BCDDE"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vAlign w:val="center"/>
            <w:hideMark/>
          </w:tcPr>
          <w:p w14:paraId="550D7F70" w14:textId="77777777" w:rsidR="007E3865" w:rsidRPr="007E3865" w:rsidRDefault="007E3865" w:rsidP="007E3865">
            <w:pPr>
              <w:spacing w:after="0" w:line="240" w:lineRule="auto"/>
              <w:jc w:val="both"/>
              <w:rPr>
                <w:rFonts w:ascii="Sylfaen" w:eastAsia="Times New Roman" w:hAnsi="Sylfaen" w:cs="Calibri"/>
                <w:b/>
                <w:bCs/>
                <w:sz w:val="18"/>
                <w:szCs w:val="18"/>
              </w:rPr>
            </w:pPr>
            <w:r w:rsidRPr="007E3865">
              <w:rPr>
                <w:rFonts w:ascii="Sylfaen" w:eastAsia="Times New Roman" w:hAnsi="Sylfaen" w:cs="Calibri"/>
                <w:b/>
                <w:bCs/>
                <w:sz w:val="18"/>
                <w:szCs w:val="18"/>
              </w:rPr>
              <w:t>მაკროეკონომიკური პროგნოზების გაუმჯობესებისა და მაკროეკონომიკური ინდიკატორების ფისკალურ პარამეტრებზე ფაქტობრივი გავლენის შეფასების მიზნით, მიზანშეწონილია, სახელმწიფო ბიუჯეტის შესრულების წლიური ანგარიში მოიცავდეს:</w:t>
            </w:r>
          </w:p>
        </w:tc>
        <w:tc>
          <w:tcPr>
            <w:tcW w:w="586" w:type="pct"/>
            <w:tcBorders>
              <w:top w:val="nil"/>
              <w:left w:val="nil"/>
              <w:bottom w:val="single" w:sz="4" w:space="0" w:color="333F4F"/>
              <w:right w:val="single" w:sz="4" w:space="0" w:color="333F4F"/>
            </w:tcBorders>
            <w:shd w:val="clear" w:color="auto" w:fill="auto"/>
            <w:vAlign w:val="center"/>
            <w:hideMark/>
          </w:tcPr>
          <w:p w14:paraId="01DED651"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568" w:type="pct"/>
            <w:tcBorders>
              <w:top w:val="nil"/>
              <w:left w:val="nil"/>
              <w:bottom w:val="single" w:sz="4" w:space="0" w:color="333F4F"/>
              <w:right w:val="single" w:sz="4" w:space="0" w:color="333F4F"/>
            </w:tcBorders>
            <w:shd w:val="clear" w:color="auto" w:fill="auto"/>
            <w:vAlign w:val="center"/>
            <w:hideMark/>
          </w:tcPr>
          <w:p w14:paraId="5CD080BF"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761" w:type="pct"/>
            <w:tcBorders>
              <w:top w:val="nil"/>
              <w:left w:val="nil"/>
              <w:bottom w:val="single" w:sz="4" w:space="0" w:color="333F4F"/>
              <w:right w:val="single" w:sz="4" w:space="0" w:color="333F4F"/>
            </w:tcBorders>
            <w:shd w:val="clear" w:color="auto" w:fill="auto"/>
            <w:vAlign w:val="center"/>
            <w:hideMark/>
          </w:tcPr>
          <w:p w14:paraId="45E7F661"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1886" w:type="pct"/>
            <w:tcBorders>
              <w:top w:val="nil"/>
              <w:left w:val="nil"/>
              <w:bottom w:val="single" w:sz="4" w:space="0" w:color="333F4F"/>
              <w:right w:val="single" w:sz="4" w:space="0" w:color="333F4F"/>
            </w:tcBorders>
            <w:shd w:val="clear" w:color="auto" w:fill="auto"/>
            <w:vAlign w:val="center"/>
            <w:hideMark/>
          </w:tcPr>
          <w:p w14:paraId="6EE3D3A8"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r>
      <w:tr w:rsidR="007E3865" w:rsidRPr="007E3865" w14:paraId="41303ACA"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vAlign w:val="center"/>
            <w:hideMark/>
          </w:tcPr>
          <w:p w14:paraId="52557E9C"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სხვადასხვა წლებში განსაზღვრული მაკროეკონომიკური პროგნოზების რეალისტურობის შეფასებასა და ფაქტობრივი მაჩვენებლებიდან გადახრების გამომწვევი მიზეზების დეტალურ ანალიზს;</w:t>
            </w:r>
          </w:p>
        </w:tc>
        <w:tc>
          <w:tcPr>
            <w:tcW w:w="586" w:type="pct"/>
            <w:tcBorders>
              <w:top w:val="nil"/>
              <w:left w:val="nil"/>
              <w:bottom w:val="single" w:sz="4" w:space="0" w:color="333F4F"/>
              <w:right w:val="single" w:sz="4" w:space="0" w:color="333F4F"/>
            </w:tcBorders>
            <w:shd w:val="clear" w:color="auto" w:fill="auto"/>
            <w:vAlign w:val="center"/>
            <w:hideMark/>
          </w:tcPr>
          <w:p w14:paraId="34E71305"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მიმდინარე</w:t>
            </w:r>
          </w:p>
        </w:tc>
        <w:tc>
          <w:tcPr>
            <w:tcW w:w="568" w:type="pct"/>
            <w:tcBorders>
              <w:top w:val="nil"/>
              <w:left w:val="nil"/>
              <w:bottom w:val="single" w:sz="4" w:space="0" w:color="333F4F"/>
              <w:right w:val="single" w:sz="4" w:space="0" w:color="333F4F"/>
            </w:tcBorders>
            <w:shd w:val="clear" w:color="auto" w:fill="auto"/>
            <w:vAlign w:val="center"/>
            <w:hideMark/>
          </w:tcPr>
          <w:p w14:paraId="1FD17352"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საქართველოს ფინანსთა სამინისტრო</w:t>
            </w:r>
          </w:p>
        </w:tc>
        <w:tc>
          <w:tcPr>
            <w:tcW w:w="761" w:type="pct"/>
            <w:tcBorders>
              <w:top w:val="nil"/>
              <w:left w:val="nil"/>
              <w:bottom w:val="single" w:sz="4" w:space="0" w:color="333F4F"/>
              <w:right w:val="single" w:sz="4" w:space="0" w:color="333F4F"/>
            </w:tcBorders>
            <w:shd w:val="clear" w:color="auto" w:fill="auto"/>
            <w:vAlign w:val="center"/>
            <w:hideMark/>
          </w:tcPr>
          <w:p w14:paraId="4141D5B9"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სახელმწიფო ბიუჯეტის შესრულების წლიური ანგარიშში ასახული შესაბამისი ინფორმაცია. ანგარიში განთავსებულია საქართველოს ფინანსთა სამინისტროს ვებ-გვერდზე</w:t>
            </w:r>
          </w:p>
        </w:tc>
        <w:tc>
          <w:tcPr>
            <w:tcW w:w="1886" w:type="pct"/>
            <w:tcBorders>
              <w:top w:val="nil"/>
              <w:left w:val="nil"/>
              <w:bottom w:val="single" w:sz="4" w:space="0" w:color="333F4F"/>
              <w:right w:val="single" w:sz="4" w:space="0" w:color="333F4F"/>
            </w:tcBorders>
            <w:shd w:val="clear" w:color="auto" w:fill="auto"/>
            <w:vAlign w:val="center"/>
            <w:hideMark/>
          </w:tcPr>
          <w:p w14:paraId="15B0F83F"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2018 წლის ბიუჯეტის შესრულების ანგარიშში წარმოდგენილია ინფორმაცია მაკროეკონომიკური პროგნოზების შედარების და გადახრების შესახებ. https://mof.ge/images/File/biujeti-12tve-2018/2018%20angariSze%20mokle%20informacia%20dakoreqtirebuli.docx</w:t>
            </w:r>
          </w:p>
        </w:tc>
      </w:tr>
      <w:tr w:rsidR="007E3865" w:rsidRPr="007E3865" w14:paraId="087823FA"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vAlign w:val="center"/>
            <w:hideMark/>
          </w:tcPr>
          <w:p w14:paraId="724C302C"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ბიუჯეტის დაგეგმვის ეტაპზე განსაზღვრული რისკების მატერიალიზაციისა და მათ საპასუხოდ განხორციელებული პოლიტიკის პასუხების ანალიზს.</w:t>
            </w:r>
          </w:p>
        </w:tc>
        <w:tc>
          <w:tcPr>
            <w:tcW w:w="586" w:type="pct"/>
            <w:tcBorders>
              <w:top w:val="nil"/>
              <w:left w:val="nil"/>
              <w:bottom w:val="single" w:sz="4" w:space="0" w:color="333F4F"/>
              <w:right w:val="single" w:sz="4" w:space="0" w:color="333F4F"/>
            </w:tcBorders>
            <w:shd w:val="clear" w:color="auto" w:fill="auto"/>
            <w:vAlign w:val="center"/>
            <w:hideMark/>
          </w:tcPr>
          <w:p w14:paraId="6FE0EB30"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2020-2021 წლები</w:t>
            </w:r>
          </w:p>
        </w:tc>
        <w:tc>
          <w:tcPr>
            <w:tcW w:w="568" w:type="pct"/>
            <w:tcBorders>
              <w:top w:val="nil"/>
              <w:left w:val="nil"/>
              <w:bottom w:val="single" w:sz="4" w:space="0" w:color="333F4F"/>
              <w:right w:val="single" w:sz="4" w:space="0" w:color="333F4F"/>
            </w:tcBorders>
            <w:shd w:val="clear" w:color="auto" w:fill="auto"/>
            <w:vAlign w:val="center"/>
            <w:hideMark/>
          </w:tcPr>
          <w:p w14:paraId="22AB7D29"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საქართველოს ფინანსთა სამინისტრო</w:t>
            </w:r>
          </w:p>
        </w:tc>
        <w:tc>
          <w:tcPr>
            <w:tcW w:w="761" w:type="pct"/>
            <w:tcBorders>
              <w:top w:val="nil"/>
              <w:left w:val="nil"/>
              <w:bottom w:val="single" w:sz="4" w:space="0" w:color="333F4F"/>
              <w:right w:val="single" w:sz="4" w:space="0" w:color="333F4F"/>
            </w:tcBorders>
            <w:shd w:val="clear" w:color="auto" w:fill="auto"/>
            <w:vAlign w:val="center"/>
            <w:hideMark/>
          </w:tcPr>
          <w:p w14:paraId="27ED56F4"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xml:space="preserve">2022 წლის სახელმწიფო ბიუჯეტის პროექტზე თანდართული ფისკალური რისკების დოკუმენტი, რომელიც წარედგინება საქართველოს პარლამენტში მოიცავს შესაბამის ინფორმაციას. ინფორმაცია განთავსებულია საქართველოს ფინანსთა </w:t>
            </w:r>
            <w:r w:rsidRPr="007E3865">
              <w:rPr>
                <w:rFonts w:ascii="Sylfaen" w:eastAsia="Times New Roman" w:hAnsi="Sylfaen" w:cs="Calibri"/>
                <w:sz w:val="18"/>
                <w:szCs w:val="18"/>
              </w:rPr>
              <w:lastRenderedPageBreak/>
              <w:t>სამინისტროს ვებ-გვერდზე</w:t>
            </w:r>
          </w:p>
        </w:tc>
        <w:tc>
          <w:tcPr>
            <w:tcW w:w="1886" w:type="pct"/>
            <w:tcBorders>
              <w:top w:val="nil"/>
              <w:left w:val="nil"/>
              <w:bottom w:val="single" w:sz="4" w:space="0" w:color="333F4F"/>
              <w:right w:val="single" w:sz="4" w:space="0" w:color="333F4F"/>
            </w:tcBorders>
            <w:shd w:val="clear" w:color="auto" w:fill="auto"/>
            <w:vAlign w:val="center"/>
            <w:hideMark/>
          </w:tcPr>
          <w:p w14:paraId="572D85F0"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lastRenderedPageBreak/>
              <w:t xml:space="preserve">ფისკალური რისკების ანალიზის დოკუმენტი მოიცავს ინფორმაციას გასული, მიმდინარე, დასაგეგმი და დასაგეგმის შემდგომი საანგარიშო პერიოდებისთვის, რაც მოიცავს რისკების რეალიზაციის ნეგატიური შედეგების თავიდან აცილების ან მინიმიზაციის რეკომენდაციებს. ამასთან, უკანასკნელ პერიოდში მნიშვნელოვნად დაიხვეწა რისკების იდენტიფიკაციის, ანალიზის და რეპორტინგის მექანიზმები, შემდგომ ეტაპს წარმოადგენს ფისკალური რისკების მართვის ეფექტური მექანიზმების დანერგვა, რომელზეც მუშაობის დაწყება დაგეგმილია 2020 წლიდან, რაც თავის მხრივ დაფარავს საბიუჯეტო პროცესის სხვადასხვა ეტაპზე განსაზღვრული რისკების მატერიალიზაციისა </w:t>
            </w:r>
            <w:r w:rsidRPr="007E3865">
              <w:rPr>
                <w:rFonts w:ascii="Sylfaen" w:eastAsia="Times New Roman" w:hAnsi="Sylfaen" w:cs="Calibri"/>
                <w:sz w:val="18"/>
                <w:szCs w:val="18"/>
              </w:rPr>
              <w:lastRenderedPageBreak/>
              <w:t>და მათ საპასუხოდ განხორციელებული პოლიტიკის პასუხების ანალიზს.</w:t>
            </w:r>
          </w:p>
        </w:tc>
      </w:tr>
      <w:tr w:rsidR="007E3865" w:rsidRPr="007E3865" w14:paraId="5CF28EF2"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vAlign w:val="center"/>
            <w:hideMark/>
          </w:tcPr>
          <w:p w14:paraId="0408F4DB" w14:textId="77777777" w:rsidR="007E3865" w:rsidRPr="007E3865" w:rsidRDefault="007E3865" w:rsidP="007E3865">
            <w:pPr>
              <w:spacing w:after="0" w:line="240" w:lineRule="auto"/>
              <w:jc w:val="both"/>
              <w:rPr>
                <w:rFonts w:ascii="Sylfaen" w:eastAsia="Times New Roman" w:hAnsi="Sylfaen" w:cs="Calibri"/>
                <w:b/>
                <w:bCs/>
                <w:sz w:val="18"/>
                <w:szCs w:val="18"/>
              </w:rPr>
            </w:pPr>
            <w:r w:rsidRPr="007E3865">
              <w:rPr>
                <w:rFonts w:ascii="Sylfaen" w:eastAsia="Times New Roman" w:hAnsi="Sylfaen" w:cs="Calibri"/>
                <w:b/>
                <w:bCs/>
                <w:sz w:val="18"/>
                <w:szCs w:val="18"/>
              </w:rPr>
              <w:lastRenderedPageBreak/>
              <w:t>სახელმწიფო აუდიტის სამსახურის შეფასებით, სამთავრობო სექტორის ვალის შესახებ სრულყოფილი ინფორმაციის წარდგენისა და მთავრობის ვალის მდგრადობის უზრუნველსაყოფად, ფინანსთა სამინისტრომ უნდა უზრუნველყოს:</w:t>
            </w:r>
          </w:p>
        </w:tc>
        <w:tc>
          <w:tcPr>
            <w:tcW w:w="586" w:type="pct"/>
            <w:tcBorders>
              <w:top w:val="nil"/>
              <w:left w:val="nil"/>
              <w:bottom w:val="single" w:sz="4" w:space="0" w:color="333F4F"/>
              <w:right w:val="single" w:sz="4" w:space="0" w:color="333F4F"/>
            </w:tcBorders>
            <w:shd w:val="clear" w:color="auto" w:fill="auto"/>
            <w:vAlign w:val="center"/>
            <w:hideMark/>
          </w:tcPr>
          <w:p w14:paraId="66A63086"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568" w:type="pct"/>
            <w:tcBorders>
              <w:top w:val="nil"/>
              <w:left w:val="nil"/>
              <w:bottom w:val="single" w:sz="4" w:space="0" w:color="333F4F"/>
              <w:right w:val="single" w:sz="4" w:space="0" w:color="333F4F"/>
            </w:tcBorders>
            <w:shd w:val="clear" w:color="auto" w:fill="auto"/>
            <w:vAlign w:val="center"/>
            <w:hideMark/>
          </w:tcPr>
          <w:p w14:paraId="10A08303"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761" w:type="pct"/>
            <w:tcBorders>
              <w:top w:val="nil"/>
              <w:left w:val="nil"/>
              <w:bottom w:val="single" w:sz="4" w:space="0" w:color="333F4F"/>
              <w:right w:val="single" w:sz="4" w:space="0" w:color="333F4F"/>
            </w:tcBorders>
            <w:shd w:val="clear" w:color="auto" w:fill="auto"/>
            <w:vAlign w:val="center"/>
            <w:hideMark/>
          </w:tcPr>
          <w:p w14:paraId="78CEC701"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1886" w:type="pct"/>
            <w:tcBorders>
              <w:top w:val="nil"/>
              <w:left w:val="nil"/>
              <w:bottom w:val="single" w:sz="4" w:space="0" w:color="333F4F"/>
              <w:right w:val="single" w:sz="4" w:space="0" w:color="333F4F"/>
            </w:tcBorders>
            <w:shd w:val="clear" w:color="auto" w:fill="auto"/>
            <w:vAlign w:val="center"/>
            <w:hideMark/>
          </w:tcPr>
          <w:p w14:paraId="2FB5650E"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r>
      <w:tr w:rsidR="007E3865" w:rsidRPr="007E3865" w14:paraId="4C246F24"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vAlign w:val="center"/>
            <w:hideMark/>
          </w:tcPr>
          <w:p w14:paraId="6062B0FB"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მთავრობის ვალში მუნიციპალიტეტებისა და სსიპ-ების ვალდებულებების ასახვა;</w:t>
            </w:r>
          </w:p>
        </w:tc>
        <w:tc>
          <w:tcPr>
            <w:tcW w:w="586" w:type="pct"/>
            <w:vMerge w:val="restart"/>
            <w:tcBorders>
              <w:top w:val="nil"/>
              <w:left w:val="single" w:sz="4" w:space="0" w:color="333F4F"/>
              <w:bottom w:val="single" w:sz="4" w:space="0" w:color="333F4F"/>
              <w:right w:val="single" w:sz="4" w:space="0" w:color="333F4F"/>
            </w:tcBorders>
            <w:shd w:val="clear" w:color="auto" w:fill="auto"/>
            <w:vAlign w:val="center"/>
            <w:hideMark/>
          </w:tcPr>
          <w:p w14:paraId="452C6992"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მიმდინარე</w:t>
            </w:r>
          </w:p>
        </w:tc>
        <w:tc>
          <w:tcPr>
            <w:tcW w:w="568" w:type="pct"/>
            <w:vMerge w:val="restart"/>
            <w:tcBorders>
              <w:top w:val="nil"/>
              <w:left w:val="single" w:sz="4" w:space="0" w:color="333F4F"/>
              <w:bottom w:val="single" w:sz="4" w:space="0" w:color="333F4F"/>
              <w:right w:val="single" w:sz="4" w:space="0" w:color="333F4F"/>
            </w:tcBorders>
            <w:shd w:val="clear" w:color="auto" w:fill="auto"/>
            <w:vAlign w:val="center"/>
            <w:hideMark/>
          </w:tcPr>
          <w:p w14:paraId="53DADE74"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საქართველოს ფინანსთა სამინისტრო</w:t>
            </w:r>
          </w:p>
        </w:tc>
        <w:tc>
          <w:tcPr>
            <w:tcW w:w="761" w:type="pct"/>
            <w:vMerge w:val="restart"/>
            <w:tcBorders>
              <w:top w:val="nil"/>
              <w:left w:val="single" w:sz="4" w:space="0" w:color="333F4F"/>
              <w:bottom w:val="single" w:sz="4" w:space="0" w:color="333F4F"/>
              <w:right w:val="single" w:sz="4" w:space="0" w:color="333F4F"/>
            </w:tcBorders>
            <w:shd w:val="clear" w:color="auto" w:fill="auto"/>
            <w:vAlign w:val="center"/>
            <w:hideMark/>
          </w:tcPr>
          <w:p w14:paraId="0E94EEDF"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შესაბამისი წლის სახელმწიფო ბიუჯეტი</w:t>
            </w:r>
          </w:p>
        </w:tc>
        <w:tc>
          <w:tcPr>
            <w:tcW w:w="1886" w:type="pct"/>
            <w:vMerge w:val="restart"/>
            <w:tcBorders>
              <w:top w:val="nil"/>
              <w:left w:val="single" w:sz="4" w:space="0" w:color="333F4F"/>
              <w:bottom w:val="single" w:sz="4" w:space="0" w:color="333F4F"/>
              <w:right w:val="single" w:sz="4" w:space="0" w:color="333F4F"/>
            </w:tcBorders>
            <w:shd w:val="clear" w:color="auto" w:fill="auto"/>
            <w:hideMark/>
          </w:tcPr>
          <w:p w14:paraId="029C959E"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xml:space="preserve">სახელმწიფო ვალის მონაცემებში ასახულია სსიპ-ების ვალდებულებები.                                                                             საქართველოს  2020 წლის სახელმწიფო ბიუჯეტის კანონზე თანდართულ დოკუმენტში "მთავრობის ვალი მდგრადობის ანალიზი 2020-2029 წლებისათვის" გათვალისწინებილია საჯარო და კერძო პარტნიორობის  კრიტერიუმების შესაბამისი პროექტების ფარგლებში აღებული ვალდებულებების მიმდინარე ღირებულება, სულ 693.2 მლნ ლარი. </w:t>
            </w:r>
          </w:p>
        </w:tc>
      </w:tr>
      <w:tr w:rsidR="007E3865" w:rsidRPr="007E3865" w14:paraId="7EE856DC"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vAlign w:val="center"/>
            <w:hideMark/>
          </w:tcPr>
          <w:p w14:paraId="2CC8A062"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ვალის წესის გაანგარიშებისას მთავრობის ვალის ნაშთთან ერთად „საჯარო და კერძო პარტნიორობის შესახებ“ კანონის საფუძველზე აღებული ვალდებულებების მიმდინარე ღირებულებით გათვალისწინება;</w:t>
            </w:r>
          </w:p>
        </w:tc>
        <w:tc>
          <w:tcPr>
            <w:tcW w:w="586" w:type="pct"/>
            <w:vMerge/>
            <w:tcBorders>
              <w:top w:val="nil"/>
              <w:left w:val="single" w:sz="4" w:space="0" w:color="333F4F"/>
              <w:bottom w:val="single" w:sz="4" w:space="0" w:color="333F4F"/>
              <w:right w:val="single" w:sz="4" w:space="0" w:color="333F4F"/>
            </w:tcBorders>
            <w:vAlign w:val="center"/>
            <w:hideMark/>
          </w:tcPr>
          <w:p w14:paraId="27BD9416" w14:textId="77777777" w:rsidR="007E3865" w:rsidRPr="007E3865" w:rsidRDefault="007E3865" w:rsidP="007E3865">
            <w:pPr>
              <w:spacing w:after="0" w:line="240" w:lineRule="auto"/>
              <w:rPr>
                <w:rFonts w:ascii="Sylfaen" w:eastAsia="Times New Roman" w:hAnsi="Sylfaen" w:cs="Calibri"/>
                <w:sz w:val="18"/>
                <w:szCs w:val="18"/>
              </w:rPr>
            </w:pPr>
          </w:p>
        </w:tc>
        <w:tc>
          <w:tcPr>
            <w:tcW w:w="568" w:type="pct"/>
            <w:vMerge/>
            <w:tcBorders>
              <w:top w:val="nil"/>
              <w:left w:val="single" w:sz="4" w:space="0" w:color="333F4F"/>
              <w:bottom w:val="single" w:sz="4" w:space="0" w:color="333F4F"/>
              <w:right w:val="single" w:sz="4" w:space="0" w:color="333F4F"/>
            </w:tcBorders>
            <w:vAlign w:val="center"/>
            <w:hideMark/>
          </w:tcPr>
          <w:p w14:paraId="2EE6EA95" w14:textId="77777777" w:rsidR="007E3865" w:rsidRPr="007E3865" w:rsidRDefault="007E3865" w:rsidP="007E3865">
            <w:pPr>
              <w:spacing w:after="0" w:line="240" w:lineRule="auto"/>
              <w:rPr>
                <w:rFonts w:ascii="Sylfaen" w:eastAsia="Times New Roman" w:hAnsi="Sylfaen" w:cs="Calibri"/>
                <w:sz w:val="18"/>
                <w:szCs w:val="18"/>
              </w:rPr>
            </w:pPr>
          </w:p>
        </w:tc>
        <w:tc>
          <w:tcPr>
            <w:tcW w:w="761" w:type="pct"/>
            <w:vMerge/>
            <w:tcBorders>
              <w:top w:val="nil"/>
              <w:left w:val="single" w:sz="4" w:space="0" w:color="333F4F"/>
              <w:bottom w:val="single" w:sz="4" w:space="0" w:color="333F4F"/>
              <w:right w:val="single" w:sz="4" w:space="0" w:color="333F4F"/>
            </w:tcBorders>
            <w:vAlign w:val="center"/>
            <w:hideMark/>
          </w:tcPr>
          <w:p w14:paraId="6BC220C1" w14:textId="77777777" w:rsidR="007E3865" w:rsidRPr="007E3865" w:rsidRDefault="007E3865" w:rsidP="007E3865">
            <w:pPr>
              <w:spacing w:after="0" w:line="240" w:lineRule="auto"/>
              <w:rPr>
                <w:rFonts w:ascii="Sylfaen" w:eastAsia="Times New Roman" w:hAnsi="Sylfaen" w:cs="Calibri"/>
                <w:sz w:val="18"/>
                <w:szCs w:val="18"/>
              </w:rPr>
            </w:pPr>
          </w:p>
        </w:tc>
        <w:tc>
          <w:tcPr>
            <w:tcW w:w="1886" w:type="pct"/>
            <w:vMerge/>
            <w:tcBorders>
              <w:top w:val="nil"/>
              <w:left w:val="single" w:sz="4" w:space="0" w:color="333F4F"/>
              <w:bottom w:val="single" w:sz="4" w:space="0" w:color="333F4F"/>
              <w:right w:val="single" w:sz="4" w:space="0" w:color="333F4F"/>
            </w:tcBorders>
            <w:vAlign w:val="center"/>
            <w:hideMark/>
          </w:tcPr>
          <w:p w14:paraId="116F8906" w14:textId="77777777" w:rsidR="007E3865" w:rsidRPr="007E3865" w:rsidRDefault="007E3865" w:rsidP="007E3865">
            <w:pPr>
              <w:spacing w:after="0" w:line="240" w:lineRule="auto"/>
              <w:rPr>
                <w:rFonts w:ascii="Sylfaen" w:eastAsia="Times New Roman" w:hAnsi="Sylfaen" w:cs="Calibri"/>
                <w:sz w:val="18"/>
                <w:szCs w:val="18"/>
              </w:rPr>
            </w:pPr>
          </w:p>
        </w:tc>
      </w:tr>
      <w:tr w:rsidR="007E3865" w:rsidRPr="007E3865" w14:paraId="77886553"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vAlign w:val="center"/>
            <w:hideMark/>
          </w:tcPr>
          <w:p w14:paraId="32593227"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სახელმწიფო საწარმოების დაკლასიფიცირება სამთავრობო და არასამთავრობო სექტორის საწარმოებად;</w:t>
            </w:r>
          </w:p>
        </w:tc>
        <w:tc>
          <w:tcPr>
            <w:tcW w:w="586" w:type="pct"/>
            <w:vMerge w:val="restart"/>
            <w:tcBorders>
              <w:top w:val="nil"/>
              <w:left w:val="single" w:sz="4" w:space="0" w:color="333F4F"/>
              <w:bottom w:val="single" w:sz="4" w:space="0" w:color="333F4F"/>
              <w:right w:val="single" w:sz="4" w:space="0" w:color="333F4F"/>
            </w:tcBorders>
            <w:shd w:val="clear" w:color="auto" w:fill="auto"/>
            <w:vAlign w:val="center"/>
            <w:hideMark/>
          </w:tcPr>
          <w:p w14:paraId="22E5E24E"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2020 წელი</w:t>
            </w:r>
          </w:p>
        </w:tc>
        <w:tc>
          <w:tcPr>
            <w:tcW w:w="568" w:type="pct"/>
            <w:vMerge w:val="restart"/>
            <w:tcBorders>
              <w:top w:val="nil"/>
              <w:left w:val="single" w:sz="4" w:space="0" w:color="333F4F"/>
              <w:bottom w:val="single" w:sz="4" w:space="0" w:color="333F4F"/>
              <w:right w:val="single" w:sz="4" w:space="0" w:color="333F4F"/>
            </w:tcBorders>
            <w:shd w:val="clear" w:color="auto" w:fill="auto"/>
            <w:vAlign w:val="center"/>
            <w:hideMark/>
          </w:tcPr>
          <w:p w14:paraId="68277F88"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საქართველოს ფინანსთა სამინისტრო</w:t>
            </w:r>
          </w:p>
        </w:tc>
        <w:tc>
          <w:tcPr>
            <w:tcW w:w="761" w:type="pct"/>
            <w:vMerge w:val="restart"/>
            <w:tcBorders>
              <w:top w:val="nil"/>
              <w:left w:val="single" w:sz="4" w:space="0" w:color="333F4F"/>
              <w:bottom w:val="single" w:sz="4" w:space="0" w:color="333F4F"/>
              <w:right w:val="single" w:sz="4" w:space="0" w:color="333F4F"/>
            </w:tcBorders>
            <w:shd w:val="clear" w:color="auto" w:fill="auto"/>
            <w:vAlign w:val="center"/>
            <w:hideMark/>
          </w:tcPr>
          <w:p w14:paraId="4E548342"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2021 წლის სახელმწიფო ბიუჯეტის პროექტი თანდართული დანართებით, რომელიც წარედგინება საქართველოს პარლამენტს და განთავსებულია საქართველოს ფინანსთა სამინისტროს ვებ-გვერდზე.</w:t>
            </w:r>
          </w:p>
        </w:tc>
        <w:tc>
          <w:tcPr>
            <w:tcW w:w="1886" w:type="pct"/>
            <w:vMerge w:val="restart"/>
            <w:tcBorders>
              <w:top w:val="nil"/>
              <w:left w:val="single" w:sz="4" w:space="0" w:color="333F4F"/>
              <w:bottom w:val="single" w:sz="4" w:space="0" w:color="333F4F"/>
              <w:right w:val="single" w:sz="4" w:space="0" w:color="333F4F"/>
            </w:tcBorders>
            <w:shd w:val="clear" w:color="auto" w:fill="auto"/>
            <w:hideMark/>
          </w:tcPr>
          <w:p w14:paraId="1B3C68AD"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xml:space="preserve">რაც შეეხება სახელმწიფო საწარმოების დაკლასიფიცირებას სახელმწიფო კორპორაციების და სახელმწიფო მმართველობის სექტორებად (public corporation, general government), საქართველოს ფინანსთა სამინისტრო აქტიურად მუშაობს აღნიშნულ საკითხზე, მომზადებულია საწარმოთა პირველადი შეფასება და მათი ეფექტურ ძირითად მაკროეკონომიკურ პარამეტრებზე, რაც ასახულია ფისკალური რისკების ანალიზის დოკუმენტში. კლასიფიცირების პროცესი დასრულდება 2020 წლის მარტის ბოლოს, ამასთან, მიღებული შედეგი არ იქნება არსებითად განსხვავებული ფისკალური რისკების ანალიზის დოკუმენტში მოცემული წინასწარი შეფასებისგან.  კლასიფიცირების პროცესის დასრულებისთანავე, საქართველოს ფინანსთა სამინისტრო დაიწყებს სახელმწიფო ფინანსების სტატისტიკური მაჩვენებლების კორექტირებაზე მუშაობას, რომელიც საბოლოო ასახვას პოვებს 2021 სახელმწიფო ბიუჯეტის პროექტში. </w:t>
            </w:r>
            <w:r w:rsidRPr="007E3865">
              <w:rPr>
                <w:rFonts w:ascii="Sylfaen" w:eastAsia="Times New Roman" w:hAnsi="Sylfaen" w:cs="Calibri"/>
                <w:sz w:val="18"/>
                <w:szCs w:val="18"/>
              </w:rPr>
              <w:br/>
              <w:t>ამასთან, მიმდინარეობს მუშაობა სახელმწიფო ვალის შესახებ  საქართველოს კანონში შესაბამისი ცვლილებების ასახვისთვის;</w:t>
            </w:r>
          </w:p>
        </w:tc>
      </w:tr>
      <w:tr w:rsidR="007E3865" w:rsidRPr="007E3865" w14:paraId="560B50E9"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vAlign w:val="center"/>
            <w:hideMark/>
          </w:tcPr>
          <w:p w14:paraId="46A40EFF"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სამთავრობო სექტორში მოხვედრილი საწარმოების ვალდებულებების ასახვა მთავრობის ვალის მოცულობაში;</w:t>
            </w:r>
          </w:p>
        </w:tc>
        <w:tc>
          <w:tcPr>
            <w:tcW w:w="586" w:type="pct"/>
            <w:vMerge/>
            <w:tcBorders>
              <w:top w:val="nil"/>
              <w:left w:val="single" w:sz="4" w:space="0" w:color="333F4F"/>
              <w:bottom w:val="single" w:sz="4" w:space="0" w:color="333F4F"/>
              <w:right w:val="single" w:sz="4" w:space="0" w:color="333F4F"/>
            </w:tcBorders>
            <w:vAlign w:val="center"/>
            <w:hideMark/>
          </w:tcPr>
          <w:p w14:paraId="1EE03191" w14:textId="77777777" w:rsidR="007E3865" w:rsidRPr="007E3865" w:rsidRDefault="007E3865" w:rsidP="007E3865">
            <w:pPr>
              <w:spacing w:after="0" w:line="240" w:lineRule="auto"/>
              <w:rPr>
                <w:rFonts w:ascii="Sylfaen" w:eastAsia="Times New Roman" w:hAnsi="Sylfaen" w:cs="Calibri"/>
                <w:sz w:val="18"/>
                <w:szCs w:val="18"/>
              </w:rPr>
            </w:pPr>
          </w:p>
        </w:tc>
        <w:tc>
          <w:tcPr>
            <w:tcW w:w="568" w:type="pct"/>
            <w:vMerge/>
            <w:tcBorders>
              <w:top w:val="nil"/>
              <w:left w:val="single" w:sz="4" w:space="0" w:color="333F4F"/>
              <w:bottom w:val="single" w:sz="4" w:space="0" w:color="333F4F"/>
              <w:right w:val="single" w:sz="4" w:space="0" w:color="333F4F"/>
            </w:tcBorders>
            <w:vAlign w:val="center"/>
            <w:hideMark/>
          </w:tcPr>
          <w:p w14:paraId="19DA54DB" w14:textId="77777777" w:rsidR="007E3865" w:rsidRPr="007E3865" w:rsidRDefault="007E3865" w:rsidP="007E3865">
            <w:pPr>
              <w:spacing w:after="0" w:line="240" w:lineRule="auto"/>
              <w:rPr>
                <w:rFonts w:ascii="Sylfaen" w:eastAsia="Times New Roman" w:hAnsi="Sylfaen" w:cs="Calibri"/>
                <w:sz w:val="18"/>
                <w:szCs w:val="18"/>
              </w:rPr>
            </w:pPr>
          </w:p>
        </w:tc>
        <w:tc>
          <w:tcPr>
            <w:tcW w:w="761" w:type="pct"/>
            <w:vMerge/>
            <w:tcBorders>
              <w:top w:val="nil"/>
              <w:left w:val="single" w:sz="4" w:space="0" w:color="333F4F"/>
              <w:bottom w:val="single" w:sz="4" w:space="0" w:color="333F4F"/>
              <w:right w:val="single" w:sz="4" w:space="0" w:color="333F4F"/>
            </w:tcBorders>
            <w:vAlign w:val="center"/>
            <w:hideMark/>
          </w:tcPr>
          <w:p w14:paraId="67F60C7B" w14:textId="77777777" w:rsidR="007E3865" w:rsidRPr="007E3865" w:rsidRDefault="007E3865" w:rsidP="007E3865">
            <w:pPr>
              <w:spacing w:after="0" w:line="240" w:lineRule="auto"/>
              <w:rPr>
                <w:rFonts w:ascii="Sylfaen" w:eastAsia="Times New Roman" w:hAnsi="Sylfaen" w:cs="Calibri"/>
                <w:sz w:val="18"/>
                <w:szCs w:val="18"/>
              </w:rPr>
            </w:pPr>
          </w:p>
        </w:tc>
        <w:tc>
          <w:tcPr>
            <w:tcW w:w="1886" w:type="pct"/>
            <w:vMerge/>
            <w:tcBorders>
              <w:top w:val="nil"/>
              <w:left w:val="single" w:sz="4" w:space="0" w:color="333F4F"/>
              <w:bottom w:val="single" w:sz="4" w:space="0" w:color="333F4F"/>
              <w:right w:val="single" w:sz="4" w:space="0" w:color="333F4F"/>
            </w:tcBorders>
            <w:vAlign w:val="center"/>
            <w:hideMark/>
          </w:tcPr>
          <w:p w14:paraId="6549A9FE" w14:textId="77777777" w:rsidR="007E3865" w:rsidRPr="007E3865" w:rsidRDefault="007E3865" w:rsidP="007E3865">
            <w:pPr>
              <w:spacing w:after="0" w:line="240" w:lineRule="auto"/>
              <w:rPr>
                <w:rFonts w:ascii="Sylfaen" w:eastAsia="Times New Roman" w:hAnsi="Sylfaen" w:cs="Calibri"/>
                <w:sz w:val="18"/>
                <w:szCs w:val="18"/>
              </w:rPr>
            </w:pPr>
          </w:p>
        </w:tc>
      </w:tr>
      <w:tr w:rsidR="007E3865" w:rsidRPr="007E3865" w14:paraId="033855CA"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hideMark/>
          </w:tcPr>
          <w:p w14:paraId="0B2BDA1B"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ისტორიულ ვალში შემავალი კომპონენტების დაფარვის შესაბამისი კრიტერიუმების/ პროცედურების განსაზღვრა.</w:t>
            </w:r>
          </w:p>
        </w:tc>
        <w:tc>
          <w:tcPr>
            <w:tcW w:w="586" w:type="pct"/>
            <w:tcBorders>
              <w:top w:val="nil"/>
              <w:left w:val="nil"/>
              <w:bottom w:val="single" w:sz="4" w:space="0" w:color="333F4F"/>
              <w:right w:val="single" w:sz="4" w:space="0" w:color="333F4F"/>
            </w:tcBorders>
            <w:shd w:val="clear" w:color="auto" w:fill="auto"/>
            <w:vAlign w:val="center"/>
            <w:hideMark/>
          </w:tcPr>
          <w:p w14:paraId="2C5B0105"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568" w:type="pct"/>
            <w:tcBorders>
              <w:top w:val="nil"/>
              <w:left w:val="nil"/>
              <w:bottom w:val="single" w:sz="4" w:space="0" w:color="333F4F"/>
              <w:right w:val="single" w:sz="4" w:space="0" w:color="333F4F"/>
            </w:tcBorders>
            <w:shd w:val="clear" w:color="auto" w:fill="auto"/>
            <w:vAlign w:val="center"/>
            <w:hideMark/>
          </w:tcPr>
          <w:p w14:paraId="3A42F409"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საქართველოს ფინანსთა სამინისტრო</w:t>
            </w:r>
          </w:p>
        </w:tc>
        <w:tc>
          <w:tcPr>
            <w:tcW w:w="761" w:type="pct"/>
            <w:tcBorders>
              <w:top w:val="nil"/>
              <w:left w:val="nil"/>
              <w:bottom w:val="single" w:sz="4" w:space="0" w:color="333F4F"/>
              <w:right w:val="single" w:sz="4" w:space="0" w:color="333F4F"/>
            </w:tcBorders>
            <w:shd w:val="clear" w:color="auto" w:fill="auto"/>
            <w:vAlign w:val="center"/>
            <w:hideMark/>
          </w:tcPr>
          <w:p w14:paraId="3598C13B"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 </w:t>
            </w:r>
          </w:p>
        </w:tc>
        <w:tc>
          <w:tcPr>
            <w:tcW w:w="1886" w:type="pct"/>
            <w:tcBorders>
              <w:top w:val="nil"/>
              <w:left w:val="nil"/>
              <w:bottom w:val="single" w:sz="4" w:space="0" w:color="333F4F"/>
              <w:right w:val="single" w:sz="4" w:space="0" w:color="333F4F"/>
            </w:tcBorders>
            <w:shd w:val="clear" w:color="auto" w:fill="auto"/>
            <w:vAlign w:val="center"/>
            <w:hideMark/>
          </w:tcPr>
          <w:p w14:paraId="4039C49B"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xml:space="preserve">„სახელმწიფო ვალის შესახებ“  საქართველოს კანონის 48-ე მუხლის პირველი პუნქტით აღიარებული სახელმწიფო საშინაო ვალის პრობლემათა განხილვის, გადაჭრისა და რეკომენდაციების შემუშავების მიზნით, საქართველოს მთავრობის 2004 წლის 15 </w:t>
            </w:r>
            <w:r w:rsidRPr="007E3865">
              <w:rPr>
                <w:rFonts w:ascii="Sylfaen" w:eastAsia="Times New Roman" w:hAnsi="Sylfaen" w:cs="Calibri"/>
                <w:sz w:val="18"/>
                <w:szCs w:val="18"/>
              </w:rPr>
              <w:lastRenderedPageBreak/>
              <w:t xml:space="preserve">ნოემბრის №108 დადგენილებით შექმნილია საქართველოს სახელმწიფო საშინაო ვალის პრობლემათა შემსწავლელი სახელმწიფო კომისია რომელიც, იმ პირთა მიმართ, რომლებიც განეკუთვნებიან „სახელმწიფო ვალის შესახებ“ საქართველოს კანონის 48-ე მუხლის პირველი პუნქტის შესაბამისად აღიარებულ სავალო კატეგორიებს, შეიმუშავებს სახელმწიფო საშინაო ვალის ანაზღაურების მექანიზმთან დაკავშირებით რეკომენდაციებს და გადაწყვეტილების მისაღებად წარუდგენს საქართველოს მთავრობასა და საქართველოს პარლამენტს. </w:t>
            </w:r>
            <w:proofErr w:type="gramStart"/>
            <w:r w:rsidRPr="007E3865">
              <w:rPr>
                <w:rFonts w:ascii="Sylfaen" w:eastAsia="Times New Roman" w:hAnsi="Sylfaen" w:cs="Calibri"/>
                <w:sz w:val="18"/>
                <w:szCs w:val="18"/>
              </w:rPr>
              <w:t>ზემოაღნიშნულიდან</w:t>
            </w:r>
            <w:proofErr w:type="gramEnd"/>
            <w:r w:rsidRPr="007E3865">
              <w:rPr>
                <w:rFonts w:ascii="Sylfaen" w:eastAsia="Times New Roman" w:hAnsi="Sylfaen" w:cs="Calibri"/>
                <w:sz w:val="18"/>
                <w:szCs w:val="18"/>
              </w:rPr>
              <w:t xml:space="preserve"> გამომდინარე, სათანადო გადაწყვეტილების მიღებამდე, ვერ განხორციელდება „სახელმწიფო ვალის შესახებ“ საქართველოს კანონის 48-ე მუხლის პირველი პუნქტის მიხედვით აღიარებული სავალო ვალდებულებების შესრულება.</w:t>
            </w:r>
          </w:p>
        </w:tc>
      </w:tr>
      <w:tr w:rsidR="007E3865" w:rsidRPr="007E3865" w14:paraId="6FF3BE50"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hideMark/>
          </w:tcPr>
          <w:p w14:paraId="233FD3F1" w14:textId="77777777" w:rsidR="007E3865" w:rsidRPr="007E3865" w:rsidRDefault="007E3865" w:rsidP="007E3865">
            <w:pPr>
              <w:spacing w:after="0" w:line="240" w:lineRule="auto"/>
              <w:jc w:val="both"/>
              <w:rPr>
                <w:rFonts w:ascii="Sylfaen" w:eastAsia="Times New Roman" w:hAnsi="Sylfaen" w:cs="Calibri"/>
                <w:b/>
                <w:bCs/>
                <w:sz w:val="18"/>
                <w:szCs w:val="18"/>
              </w:rPr>
            </w:pPr>
            <w:r w:rsidRPr="007E3865">
              <w:rPr>
                <w:rFonts w:ascii="Sylfaen" w:eastAsia="Times New Roman" w:hAnsi="Sylfaen" w:cs="Calibri"/>
                <w:b/>
                <w:bCs/>
                <w:sz w:val="18"/>
                <w:szCs w:val="18"/>
              </w:rPr>
              <w:lastRenderedPageBreak/>
              <w:t>მიზანშეწონილია, სახელმწიფო ბიუჯეტის შესრულების ანგარიშის სსიპ/ა(ა)იპ-ების ნაერთი ბალანსის დოკუმენტში წარმოდგენილი იყოს ინფორმაცია ინდივიდუალური სსიპ/ა(ა)იპ-ის მიერ მიღებული შემოსავლებისა და გაწეული ხარჯების შესახებ, მათი ფორმირების წყაროების მიხედვით; შესაბამის უწყებებთან კოორდინაციის საფუძველზე, ფინანსთა სამინისტრომ უზრუნველყოს სსიპ/ა(ა)იპ-ების ნაერთი ბალანსის დოკუმენტში ხელშეკრულებით დასაქმებული პირების ოდენობების შესახებ დასაქმების ტიპების მიხედვით ინფორმაციის წარმოდგენა, რაც შესაძლებელს გახდის სხვადასხვა ფუნქციის მქონე თანამშრომლების რაოდენობების კანონმდებლობით განსაზღვრულ ლიმიტებთან შესაბამისობის ანგარიშგებას.</w:t>
            </w:r>
          </w:p>
        </w:tc>
        <w:tc>
          <w:tcPr>
            <w:tcW w:w="586" w:type="pct"/>
            <w:tcBorders>
              <w:top w:val="nil"/>
              <w:left w:val="nil"/>
              <w:bottom w:val="single" w:sz="4" w:space="0" w:color="333F4F"/>
              <w:right w:val="single" w:sz="4" w:space="0" w:color="333F4F"/>
            </w:tcBorders>
            <w:shd w:val="clear" w:color="auto" w:fill="auto"/>
            <w:vAlign w:val="center"/>
            <w:hideMark/>
          </w:tcPr>
          <w:p w14:paraId="62B288D0"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 </w:t>
            </w:r>
          </w:p>
        </w:tc>
        <w:tc>
          <w:tcPr>
            <w:tcW w:w="568" w:type="pct"/>
            <w:tcBorders>
              <w:top w:val="nil"/>
              <w:left w:val="nil"/>
              <w:bottom w:val="single" w:sz="4" w:space="0" w:color="333F4F"/>
              <w:right w:val="single" w:sz="4" w:space="0" w:color="333F4F"/>
            </w:tcBorders>
            <w:shd w:val="clear" w:color="auto" w:fill="auto"/>
            <w:vAlign w:val="center"/>
            <w:hideMark/>
          </w:tcPr>
          <w:p w14:paraId="7637703F"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საქართველოს ფინანსთა სამინისტრო</w:t>
            </w:r>
          </w:p>
        </w:tc>
        <w:tc>
          <w:tcPr>
            <w:tcW w:w="761" w:type="pct"/>
            <w:tcBorders>
              <w:top w:val="nil"/>
              <w:left w:val="nil"/>
              <w:bottom w:val="single" w:sz="4" w:space="0" w:color="333F4F"/>
              <w:right w:val="single" w:sz="4" w:space="0" w:color="333F4F"/>
            </w:tcBorders>
            <w:shd w:val="clear" w:color="auto" w:fill="auto"/>
            <w:vAlign w:val="center"/>
            <w:hideMark/>
          </w:tcPr>
          <w:p w14:paraId="47DA152D"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 </w:t>
            </w:r>
          </w:p>
        </w:tc>
        <w:tc>
          <w:tcPr>
            <w:tcW w:w="1886" w:type="pct"/>
            <w:tcBorders>
              <w:top w:val="nil"/>
              <w:left w:val="nil"/>
              <w:bottom w:val="single" w:sz="4" w:space="0" w:color="333F4F"/>
              <w:right w:val="single" w:sz="4" w:space="0" w:color="333F4F"/>
            </w:tcBorders>
            <w:shd w:val="clear" w:color="auto" w:fill="auto"/>
            <w:vAlign w:val="center"/>
            <w:hideMark/>
          </w:tcPr>
          <w:p w14:paraId="146B3598" w14:textId="77777777" w:rsidR="007E3865" w:rsidRPr="007E3865" w:rsidRDefault="007E3865" w:rsidP="007E3865">
            <w:pPr>
              <w:spacing w:after="0" w:line="240" w:lineRule="auto"/>
              <w:jc w:val="both"/>
              <w:rPr>
                <w:rFonts w:ascii="Sylfaen" w:eastAsia="Times New Roman" w:hAnsi="Sylfaen" w:cs="Calibri"/>
                <w:sz w:val="18"/>
                <w:szCs w:val="18"/>
              </w:rPr>
            </w:pPr>
            <w:r w:rsidRPr="007E3865">
              <w:rPr>
                <w:rFonts w:ascii="Sylfaen" w:eastAsia="Times New Roman" w:hAnsi="Sylfaen" w:cs="Calibri"/>
                <w:sz w:val="18"/>
                <w:szCs w:val="18"/>
              </w:rPr>
              <w:t>სსიპ/ა(ა)იპ-ების შესახებ ფინანსური ინფორმაციის აღრიცხვა ხორციელდება ერთიანი მიდგომით, სახელმწიფო ბიუჯეტიდან მიღებული სახსრები და კანონმდებლობით ნებადართული სხვა (საკუთარი) შემოსავლები შესაბამის ბიუჯეტებში. სრული ინფორმაცია მათ შორის, როგორც სსიპ/ა(ა)იპ-ების, ასევე, მათ მიერ განხორციელებული პროგრამების/ პროექტების შესახებ ასახულია ბიუჯეტის შესრულების VII თავში.ამასთან, რაც შეეხება შრომითი ხელშეკრულებით დასაქმებული პირების აღრიცხვისა და ანგარიშგების საკითხს, გასათვალისწინებელია რომ კანონმდებლობით დადგენილია და დარეგულირებულია შრომით ხელშეკრულებებით დასაქმებულ პირთა ზღვრული მოცულობები, შეთანხმება ხორციელდება საქართველოს მთავრობასთან. ლიმიტები განსაზღვრულია ცალ-ცალკე დამხმარე და არამუდმივი ამოცანების შემსრულებელი პირებისათვის. შრომითი ხელშეკრულებით დასაქმებულ პირთა დასაქმების პერიოდიც ცვალებადია.   ზემოაღნიშნულიდან გამომდინარე წლიური ბიუჯეტის შესრულების ანგარიშგებისათვის რთულია სრულყოფილი სურათის წარმოდგენა, წლის კონკრეტული მონაკვეთში რამდენად შეესაბამება დასაქმებულ პირთა რაოდენობა და ანაზღაურება დადგენილ ზღვრებს. საქართველოს ფინანსთა სამინისტრო აგრძელებს მუშაობას საჯარო ფინანსების მართვის მექანიზმების სრულყოფისათვის, მათ შორის ელექტრონული სისტემების შემდგომი დახვეწის მიმართულებით, რაც შესაძლებლობას გვაძლევს დასაქმებულთა ბაზების ფორმირება და კონტროლი განხორციელდეს მეტად ეფექტური მექანიზმებით.</w:t>
            </w:r>
          </w:p>
        </w:tc>
      </w:tr>
      <w:tr w:rsidR="007E3865" w:rsidRPr="007E3865" w14:paraId="5C5E69AE" w14:textId="77777777" w:rsidTr="007E3865">
        <w:trPr>
          <w:trHeight w:val="288"/>
        </w:trPr>
        <w:tc>
          <w:tcPr>
            <w:tcW w:w="1198" w:type="pct"/>
            <w:tcBorders>
              <w:top w:val="nil"/>
              <w:left w:val="single" w:sz="4" w:space="0" w:color="333F4F"/>
              <w:bottom w:val="single" w:sz="4" w:space="0" w:color="333F4F"/>
              <w:right w:val="single" w:sz="4" w:space="0" w:color="333F4F"/>
            </w:tcBorders>
            <w:shd w:val="clear" w:color="auto" w:fill="auto"/>
            <w:hideMark/>
          </w:tcPr>
          <w:p w14:paraId="74D908CE" w14:textId="77777777" w:rsidR="007E3865" w:rsidRPr="007E3865" w:rsidRDefault="007E3865" w:rsidP="007E3865">
            <w:pPr>
              <w:spacing w:after="0" w:line="240" w:lineRule="auto"/>
              <w:jc w:val="both"/>
              <w:rPr>
                <w:rFonts w:ascii="Sylfaen" w:eastAsia="Times New Roman" w:hAnsi="Sylfaen" w:cs="Calibri"/>
                <w:b/>
                <w:bCs/>
                <w:sz w:val="18"/>
                <w:szCs w:val="18"/>
              </w:rPr>
            </w:pPr>
            <w:r w:rsidRPr="007E3865">
              <w:rPr>
                <w:rFonts w:ascii="Sylfaen" w:eastAsia="Times New Roman" w:hAnsi="Sylfaen" w:cs="Calibri"/>
                <w:b/>
                <w:bCs/>
                <w:sz w:val="18"/>
                <w:szCs w:val="18"/>
              </w:rPr>
              <w:lastRenderedPageBreak/>
              <w:t>მიზანშეწონილია, სახელმწიფო ბიუჯეტის შესრულების ანგარიშზე თანდართული დოკუმენტი სახელმწიფო აუდიტის სამსახურის რეკომენდაციების შესრულების შესახებ, ასევე მოიცავდეს განახლებულ ინფორმაციას გასულ პერიოდებში გაცემული რეკომენდაციების შესრულების მდგომარეობის შესახებ.</w:t>
            </w:r>
          </w:p>
        </w:tc>
        <w:tc>
          <w:tcPr>
            <w:tcW w:w="586" w:type="pct"/>
            <w:tcBorders>
              <w:top w:val="nil"/>
              <w:left w:val="nil"/>
              <w:bottom w:val="single" w:sz="4" w:space="0" w:color="333F4F"/>
              <w:right w:val="single" w:sz="4" w:space="0" w:color="333F4F"/>
            </w:tcBorders>
            <w:shd w:val="clear" w:color="auto" w:fill="auto"/>
            <w:vAlign w:val="center"/>
            <w:hideMark/>
          </w:tcPr>
          <w:p w14:paraId="4533CFE1"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2021 წელი</w:t>
            </w:r>
          </w:p>
        </w:tc>
        <w:tc>
          <w:tcPr>
            <w:tcW w:w="568" w:type="pct"/>
            <w:tcBorders>
              <w:top w:val="nil"/>
              <w:left w:val="nil"/>
              <w:bottom w:val="single" w:sz="4" w:space="0" w:color="333F4F"/>
              <w:right w:val="single" w:sz="4" w:space="0" w:color="333F4F"/>
            </w:tcBorders>
            <w:shd w:val="clear" w:color="auto" w:fill="auto"/>
            <w:vAlign w:val="center"/>
            <w:hideMark/>
          </w:tcPr>
          <w:p w14:paraId="6FBACD1E"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საქართველოს ფინანსთა სამინისტრო</w:t>
            </w:r>
            <w:r w:rsidRPr="007E3865">
              <w:rPr>
                <w:rFonts w:ascii="Sylfaen" w:eastAsia="Times New Roman" w:hAnsi="Sylfaen" w:cs="Calibri"/>
                <w:sz w:val="18"/>
                <w:szCs w:val="18"/>
              </w:rPr>
              <w:br/>
              <w:t>შესაბამისი პასუხისმგებელი უწყებები</w:t>
            </w:r>
          </w:p>
        </w:tc>
        <w:tc>
          <w:tcPr>
            <w:tcW w:w="761" w:type="pct"/>
            <w:tcBorders>
              <w:top w:val="nil"/>
              <w:left w:val="nil"/>
              <w:bottom w:val="single" w:sz="4" w:space="0" w:color="333F4F"/>
              <w:right w:val="single" w:sz="4" w:space="0" w:color="333F4F"/>
            </w:tcBorders>
            <w:shd w:val="clear" w:color="auto" w:fill="auto"/>
            <w:vAlign w:val="center"/>
            <w:hideMark/>
          </w:tcPr>
          <w:p w14:paraId="6C5BE4B1" w14:textId="77777777" w:rsidR="007E3865" w:rsidRPr="007E3865" w:rsidRDefault="007E3865" w:rsidP="007E3865">
            <w:pPr>
              <w:spacing w:after="0" w:line="240" w:lineRule="auto"/>
              <w:jc w:val="center"/>
              <w:rPr>
                <w:rFonts w:ascii="Sylfaen" w:eastAsia="Times New Roman" w:hAnsi="Sylfaen" w:cs="Calibri"/>
                <w:sz w:val="18"/>
                <w:szCs w:val="18"/>
              </w:rPr>
            </w:pPr>
            <w:r w:rsidRPr="007E3865">
              <w:rPr>
                <w:rFonts w:ascii="Sylfaen" w:eastAsia="Times New Roman" w:hAnsi="Sylfaen" w:cs="Calibri"/>
                <w:sz w:val="18"/>
                <w:szCs w:val="18"/>
              </w:rPr>
              <w:t>2020 წლის სახელმწიფო ბიუჯეტის შესრულების ანგარიში, რომელიც წარედგინება საქართველოს პარლამენტს, მოიცავს შესაბამის ინფორმაციას. აღნიშნული განთავსებულია საქართველოს ფინანსთა სამინისტროს ვებ-გვერდზე</w:t>
            </w:r>
          </w:p>
        </w:tc>
        <w:tc>
          <w:tcPr>
            <w:tcW w:w="1886" w:type="pct"/>
            <w:tcBorders>
              <w:top w:val="nil"/>
              <w:left w:val="nil"/>
              <w:bottom w:val="single" w:sz="4" w:space="0" w:color="333F4F"/>
              <w:right w:val="single" w:sz="4" w:space="0" w:color="333F4F"/>
            </w:tcBorders>
            <w:shd w:val="clear" w:color="auto" w:fill="auto"/>
            <w:vAlign w:val="center"/>
            <w:hideMark/>
          </w:tcPr>
          <w:p w14:paraId="1C61509D" w14:textId="77777777" w:rsidR="007E3865" w:rsidRPr="007E3865" w:rsidRDefault="007E3865" w:rsidP="007E3865">
            <w:pPr>
              <w:spacing w:after="0" w:line="240" w:lineRule="auto"/>
              <w:rPr>
                <w:rFonts w:ascii="Sylfaen" w:eastAsia="Times New Roman" w:hAnsi="Sylfaen" w:cs="Calibri"/>
                <w:sz w:val="18"/>
                <w:szCs w:val="18"/>
              </w:rPr>
            </w:pPr>
            <w:r w:rsidRPr="007E3865">
              <w:rPr>
                <w:rFonts w:ascii="Sylfaen" w:eastAsia="Times New Roman" w:hAnsi="Sylfaen" w:cs="Calibri"/>
                <w:sz w:val="18"/>
                <w:szCs w:val="18"/>
              </w:rPr>
              <w:t>გათვალისწინებული იქნება 2020 წლის სახელმწიფო ბიუჯეტის შესრულების ანგარიშის მომზადების დროს.</w:t>
            </w:r>
          </w:p>
        </w:tc>
      </w:tr>
    </w:tbl>
    <w:p w14:paraId="2D091F77" w14:textId="77777777" w:rsidR="007E3865" w:rsidRPr="007E3865" w:rsidRDefault="007E3865" w:rsidP="007E3865">
      <w:pPr>
        <w:jc w:val="both"/>
      </w:pPr>
    </w:p>
    <w:sectPr w:rsidR="007E3865" w:rsidRPr="007E3865" w:rsidSect="007E3865">
      <w:footerReference w:type="default" r:id="rId6"/>
      <w:pgSz w:w="15840" w:h="12240" w:orient="landscape"/>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37C36" w14:textId="77777777" w:rsidR="00260013" w:rsidRDefault="00260013" w:rsidP="007E3865">
      <w:pPr>
        <w:spacing w:after="0" w:line="240" w:lineRule="auto"/>
      </w:pPr>
      <w:r>
        <w:separator/>
      </w:r>
    </w:p>
  </w:endnote>
  <w:endnote w:type="continuationSeparator" w:id="0">
    <w:p w14:paraId="511A8FF6" w14:textId="77777777" w:rsidR="00260013" w:rsidRDefault="00260013" w:rsidP="007E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183754"/>
      <w:docPartObj>
        <w:docPartGallery w:val="Page Numbers (Bottom of Page)"/>
        <w:docPartUnique/>
      </w:docPartObj>
    </w:sdtPr>
    <w:sdtEndPr>
      <w:rPr>
        <w:noProof/>
      </w:rPr>
    </w:sdtEndPr>
    <w:sdtContent>
      <w:p w14:paraId="2294DC87" w14:textId="7D8681F0" w:rsidR="007E3865" w:rsidRDefault="007E3865">
        <w:pPr>
          <w:pStyle w:val="Footer"/>
          <w:jc w:val="right"/>
        </w:pPr>
        <w:r>
          <w:fldChar w:fldCharType="begin"/>
        </w:r>
        <w:r>
          <w:instrText xml:space="preserve"> PAGE   \* MERGEFORMAT </w:instrText>
        </w:r>
        <w:r>
          <w:fldChar w:fldCharType="separate"/>
        </w:r>
        <w:r w:rsidR="00FC0D62">
          <w:rPr>
            <w:noProof/>
          </w:rPr>
          <w:t>2</w:t>
        </w:r>
        <w:r>
          <w:rPr>
            <w:noProof/>
          </w:rPr>
          <w:fldChar w:fldCharType="end"/>
        </w:r>
      </w:p>
    </w:sdtContent>
  </w:sdt>
  <w:p w14:paraId="43DCF62B" w14:textId="77777777" w:rsidR="007E3865" w:rsidRDefault="007E3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D2ECC" w14:textId="77777777" w:rsidR="00260013" w:rsidRDefault="00260013" w:rsidP="007E3865">
      <w:pPr>
        <w:spacing w:after="0" w:line="240" w:lineRule="auto"/>
      </w:pPr>
      <w:r>
        <w:separator/>
      </w:r>
    </w:p>
  </w:footnote>
  <w:footnote w:type="continuationSeparator" w:id="0">
    <w:p w14:paraId="447E5D5E" w14:textId="77777777" w:rsidR="00260013" w:rsidRDefault="00260013" w:rsidP="007E38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1A"/>
    <w:rsid w:val="00016DA6"/>
    <w:rsid w:val="000C77FF"/>
    <w:rsid w:val="001D3E89"/>
    <w:rsid w:val="00260013"/>
    <w:rsid w:val="002B6CEA"/>
    <w:rsid w:val="0036611A"/>
    <w:rsid w:val="003F0AA8"/>
    <w:rsid w:val="004D0525"/>
    <w:rsid w:val="005E46AE"/>
    <w:rsid w:val="007E3865"/>
    <w:rsid w:val="008D572A"/>
    <w:rsid w:val="009639D1"/>
    <w:rsid w:val="00C50395"/>
    <w:rsid w:val="00CD5B46"/>
    <w:rsid w:val="00DF1D70"/>
    <w:rsid w:val="00E91BE6"/>
    <w:rsid w:val="00EE2E32"/>
    <w:rsid w:val="00FB315F"/>
    <w:rsid w:val="00FC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45D0"/>
  <w15:chartTrackingRefBased/>
  <w15:docId w15:val="{DD18A220-BC2C-44BB-9819-8E67A2CC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865"/>
  </w:style>
  <w:style w:type="paragraph" w:styleId="Footer">
    <w:name w:val="footer"/>
    <w:basedOn w:val="Normal"/>
    <w:link w:val="FooterChar"/>
    <w:uiPriority w:val="99"/>
    <w:unhideWhenUsed/>
    <w:rsid w:val="007E3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865"/>
  </w:style>
  <w:style w:type="character" w:styleId="CommentReference">
    <w:name w:val="annotation reference"/>
    <w:basedOn w:val="DefaultParagraphFont"/>
    <w:uiPriority w:val="99"/>
    <w:semiHidden/>
    <w:unhideWhenUsed/>
    <w:rsid w:val="005E46AE"/>
    <w:rPr>
      <w:sz w:val="16"/>
      <w:szCs w:val="16"/>
    </w:rPr>
  </w:style>
  <w:style w:type="paragraph" w:styleId="CommentText">
    <w:name w:val="annotation text"/>
    <w:basedOn w:val="Normal"/>
    <w:link w:val="CommentTextChar"/>
    <w:uiPriority w:val="99"/>
    <w:semiHidden/>
    <w:unhideWhenUsed/>
    <w:rsid w:val="005E46AE"/>
    <w:pPr>
      <w:spacing w:line="240" w:lineRule="auto"/>
    </w:pPr>
    <w:rPr>
      <w:sz w:val="20"/>
      <w:szCs w:val="20"/>
    </w:rPr>
  </w:style>
  <w:style w:type="character" w:customStyle="1" w:styleId="CommentTextChar">
    <w:name w:val="Comment Text Char"/>
    <w:basedOn w:val="DefaultParagraphFont"/>
    <w:link w:val="CommentText"/>
    <w:uiPriority w:val="99"/>
    <w:semiHidden/>
    <w:rsid w:val="005E46AE"/>
    <w:rPr>
      <w:sz w:val="20"/>
      <w:szCs w:val="20"/>
    </w:rPr>
  </w:style>
  <w:style w:type="paragraph" w:styleId="CommentSubject">
    <w:name w:val="annotation subject"/>
    <w:basedOn w:val="CommentText"/>
    <w:next w:val="CommentText"/>
    <w:link w:val="CommentSubjectChar"/>
    <w:uiPriority w:val="99"/>
    <w:semiHidden/>
    <w:unhideWhenUsed/>
    <w:rsid w:val="005E46AE"/>
    <w:rPr>
      <w:b/>
      <w:bCs/>
    </w:rPr>
  </w:style>
  <w:style w:type="character" w:customStyle="1" w:styleId="CommentSubjectChar">
    <w:name w:val="Comment Subject Char"/>
    <w:basedOn w:val="CommentTextChar"/>
    <w:link w:val="CommentSubject"/>
    <w:uiPriority w:val="99"/>
    <w:semiHidden/>
    <w:rsid w:val="005E46AE"/>
    <w:rPr>
      <w:b/>
      <w:bCs/>
      <w:sz w:val="20"/>
      <w:szCs w:val="20"/>
    </w:rPr>
  </w:style>
  <w:style w:type="paragraph" w:styleId="BalloonText">
    <w:name w:val="Balloon Text"/>
    <w:basedOn w:val="Normal"/>
    <w:link w:val="BalloonTextChar"/>
    <w:uiPriority w:val="99"/>
    <w:semiHidden/>
    <w:unhideWhenUsed/>
    <w:rsid w:val="005E4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6AE"/>
    <w:rPr>
      <w:rFonts w:ascii="Segoe UI" w:hAnsi="Segoe UI" w:cs="Segoe UI"/>
      <w:sz w:val="18"/>
      <w:szCs w:val="18"/>
    </w:rPr>
  </w:style>
  <w:style w:type="character" w:styleId="Hyperlink">
    <w:name w:val="Hyperlink"/>
    <w:basedOn w:val="DefaultParagraphFont"/>
    <w:uiPriority w:val="99"/>
    <w:semiHidden/>
    <w:unhideWhenUsed/>
    <w:rsid w:val="00E91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Inga Gurgenidze</cp:lastModifiedBy>
  <cp:revision>3</cp:revision>
  <dcterms:created xsi:type="dcterms:W3CDTF">2020-03-28T10:08:00Z</dcterms:created>
  <dcterms:modified xsi:type="dcterms:W3CDTF">2020-05-20T13:13:00Z</dcterms:modified>
</cp:coreProperties>
</file>